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8F5CB" w14:textId="77777777" w:rsidR="00E21881" w:rsidRDefault="00E21881" w:rsidP="00E21881">
      <w:pPr>
        <w:pStyle w:val="Title"/>
        <w:jc w:val="center"/>
      </w:pPr>
      <w:r>
        <w:t>Table Directory</w:t>
      </w:r>
      <w:bookmarkStart w:id="0" w:name="_GoBack"/>
      <w:bookmarkEnd w:id="0"/>
    </w:p>
    <w:tbl>
      <w:tblPr>
        <w:tblStyle w:val="TableGrid"/>
        <w:tblpPr w:leftFromText="180" w:rightFromText="180" w:horzAnchor="margin" w:tblpXSpec="center" w:tblpY="885"/>
        <w:tblW w:w="0" w:type="auto"/>
        <w:tblLook w:val="04A0" w:firstRow="1" w:lastRow="0" w:firstColumn="1" w:lastColumn="0" w:noHBand="0" w:noVBand="1"/>
      </w:tblPr>
      <w:tblGrid>
        <w:gridCol w:w="4675"/>
        <w:gridCol w:w="4590"/>
      </w:tblGrid>
      <w:tr w:rsidR="00E21881" w14:paraId="2C28718B" w14:textId="77777777" w:rsidTr="00180BEF">
        <w:trPr>
          <w:trHeight w:val="567"/>
        </w:trPr>
        <w:tc>
          <w:tcPr>
            <w:tcW w:w="4675" w:type="dxa"/>
          </w:tcPr>
          <w:p w14:paraId="038A41CB" w14:textId="77777777" w:rsidR="00E21881" w:rsidRPr="00E21881" w:rsidRDefault="00E21881" w:rsidP="00E21881">
            <w:pPr>
              <w:pStyle w:val="Title"/>
              <w:jc w:val="center"/>
              <w:rPr>
                <w:rFonts w:asciiTheme="minorHAnsi" w:hAnsiTheme="minorHAnsi" w:cstheme="minorHAnsi"/>
                <w:b/>
                <w:sz w:val="28"/>
                <w:szCs w:val="24"/>
              </w:rPr>
            </w:pPr>
            <w:r w:rsidRPr="00E21881">
              <w:rPr>
                <w:rFonts w:asciiTheme="minorHAnsi" w:hAnsiTheme="minorHAnsi" w:cstheme="minorHAnsi"/>
                <w:b/>
                <w:sz w:val="28"/>
                <w:szCs w:val="24"/>
              </w:rPr>
              <w:t xml:space="preserve">Raylene </w:t>
            </w:r>
            <w:proofErr w:type="spellStart"/>
            <w:r w:rsidRPr="00E21881">
              <w:rPr>
                <w:rFonts w:asciiTheme="minorHAnsi" w:hAnsiTheme="minorHAnsi" w:cstheme="minorHAnsi"/>
                <w:b/>
                <w:sz w:val="28"/>
                <w:szCs w:val="24"/>
              </w:rPr>
              <w:t>Nuffer</w:t>
            </w:r>
            <w:proofErr w:type="spellEnd"/>
            <w:r w:rsidRPr="00E21881">
              <w:rPr>
                <w:rFonts w:asciiTheme="minorHAnsi" w:hAnsiTheme="minorHAnsi" w:cstheme="minorHAnsi"/>
                <w:b/>
                <w:sz w:val="28"/>
                <w:szCs w:val="24"/>
              </w:rPr>
              <w:t xml:space="preserve"> &amp; </w:t>
            </w:r>
          </w:p>
          <w:p w14:paraId="6A0AC270" w14:textId="77777777" w:rsidR="00E21881" w:rsidRPr="00E21881" w:rsidRDefault="00E21881" w:rsidP="00E21881">
            <w:pPr>
              <w:pStyle w:val="Title"/>
              <w:jc w:val="center"/>
              <w:rPr>
                <w:rFonts w:asciiTheme="minorHAnsi" w:hAnsiTheme="minorHAnsi" w:cstheme="minorHAnsi"/>
                <w:sz w:val="24"/>
                <w:szCs w:val="24"/>
              </w:rPr>
            </w:pPr>
            <w:r w:rsidRPr="00E21881">
              <w:rPr>
                <w:rFonts w:asciiTheme="minorHAnsi" w:hAnsiTheme="minorHAnsi" w:cstheme="minorHAnsi"/>
                <w:b/>
                <w:sz w:val="28"/>
                <w:szCs w:val="24"/>
              </w:rPr>
              <w:t>Kaylee Henderson</w:t>
            </w:r>
          </w:p>
        </w:tc>
        <w:tc>
          <w:tcPr>
            <w:tcW w:w="4590" w:type="dxa"/>
          </w:tcPr>
          <w:p w14:paraId="39D23DA5" w14:textId="77777777" w:rsidR="00E21881" w:rsidRDefault="00E21881" w:rsidP="00E21881">
            <w:pPr>
              <w:pStyle w:val="Title"/>
              <w:jc w:val="center"/>
              <w:rPr>
                <w:rFonts w:asciiTheme="minorHAnsi" w:hAnsiTheme="minorHAnsi" w:cstheme="minorHAnsi"/>
                <w:b/>
                <w:sz w:val="28"/>
                <w:szCs w:val="24"/>
              </w:rPr>
            </w:pPr>
            <w:r>
              <w:rPr>
                <w:rFonts w:asciiTheme="minorHAnsi" w:hAnsiTheme="minorHAnsi" w:cstheme="minorHAnsi"/>
                <w:b/>
                <w:sz w:val="28"/>
                <w:szCs w:val="24"/>
              </w:rPr>
              <w:t xml:space="preserve">Phyllis Cormier &amp; </w:t>
            </w:r>
          </w:p>
          <w:p w14:paraId="5193BF8D" w14:textId="77777777" w:rsidR="00E21881" w:rsidRPr="00E21881" w:rsidRDefault="00E21881" w:rsidP="00E21881">
            <w:pPr>
              <w:pStyle w:val="Title"/>
              <w:jc w:val="center"/>
              <w:rPr>
                <w:rFonts w:asciiTheme="minorHAnsi" w:hAnsiTheme="minorHAnsi" w:cstheme="minorHAnsi"/>
                <w:b/>
                <w:sz w:val="28"/>
                <w:szCs w:val="24"/>
              </w:rPr>
            </w:pPr>
            <w:r>
              <w:rPr>
                <w:rFonts w:asciiTheme="minorHAnsi" w:hAnsiTheme="minorHAnsi" w:cstheme="minorHAnsi"/>
                <w:b/>
                <w:sz w:val="28"/>
                <w:szCs w:val="24"/>
              </w:rPr>
              <w:t>Alma Lopez</w:t>
            </w:r>
          </w:p>
        </w:tc>
      </w:tr>
      <w:tr w:rsidR="00E21881" w14:paraId="5D2506A1" w14:textId="77777777" w:rsidTr="00180BEF">
        <w:trPr>
          <w:trHeight w:val="1816"/>
        </w:trPr>
        <w:tc>
          <w:tcPr>
            <w:tcW w:w="4675" w:type="dxa"/>
          </w:tcPr>
          <w:p w14:paraId="2698BBDD" w14:textId="77777777" w:rsidR="00E21881" w:rsidRPr="00E21881" w:rsidRDefault="00E21881" w:rsidP="00E21881">
            <w:pPr>
              <w:pStyle w:val="Title"/>
              <w:jc w:val="center"/>
              <w:rPr>
                <w:rFonts w:asciiTheme="minorHAnsi" w:hAnsiTheme="minorHAnsi" w:cstheme="minorHAnsi"/>
                <w:sz w:val="24"/>
                <w:szCs w:val="24"/>
              </w:rPr>
            </w:pPr>
            <w:r w:rsidRPr="00E21881">
              <w:rPr>
                <w:rFonts w:asciiTheme="minorHAnsi" w:hAnsiTheme="minorHAnsi" w:cstheme="minorHAnsi"/>
                <w:sz w:val="24"/>
                <w:szCs w:val="24"/>
              </w:rPr>
              <w:t xml:space="preserve">Applying fun weekly low-stakes Reader Response activities to review readings and using </w:t>
            </w:r>
            <w:proofErr w:type="spellStart"/>
            <w:r w:rsidRPr="00E21881">
              <w:rPr>
                <w:rFonts w:asciiTheme="minorHAnsi" w:hAnsiTheme="minorHAnsi" w:cstheme="minorHAnsi"/>
                <w:sz w:val="24"/>
                <w:szCs w:val="24"/>
              </w:rPr>
              <w:t>Flipgrid</w:t>
            </w:r>
            <w:proofErr w:type="spellEnd"/>
            <w:r w:rsidRPr="00E21881">
              <w:rPr>
                <w:rFonts w:asciiTheme="minorHAnsi" w:hAnsiTheme="minorHAnsi" w:cstheme="minorHAnsi"/>
                <w:sz w:val="24"/>
                <w:szCs w:val="24"/>
              </w:rPr>
              <w:t xml:space="preserve"> to use zoom-in, zoom-out, zoom deep &amp; wide processing strategy. Additionally, be able to talk to an Academic Coach about their role in helping students succeed during course redesign.</w:t>
            </w:r>
          </w:p>
        </w:tc>
        <w:tc>
          <w:tcPr>
            <w:tcW w:w="4590" w:type="dxa"/>
          </w:tcPr>
          <w:p w14:paraId="4C6BC302" w14:textId="77777777" w:rsidR="00E21881" w:rsidRPr="00E21881" w:rsidRDefault="00E21881" w:rsidP="00E21881">
            <w:pPr>
              <w:pStyle w:val="Title"/>
              <w:jc w:val="center"/>
              <w:rPr>
                <w:rFonts w:asciiTheme="minorHAnsi" w:hAnsiTheme="minorHAnsi" w:cstheme="minorHAnsi"/>
                <w:sz w:val="24"/>
                <w:szCs w:val="24"/>
              </w:rPr>
            </w:pPr>
            <w:r w:rsidRPr="00E21881">
              <w:rPr>
                <w:rFonts w:asciiTheme="minorHAnsi" w:hAnsiTheme="minorHAnsi" w:cstheme="minorHAnsi"/>
                <w:sz w:val="24"/>
                <w:szCs w:val="24"/>
              </w:rPr>
              <w:t>Using the Fundamental Five: group discussion, critical writing, the “Power Zone,” recognizing/reinforcing behavior, and lesson framing. Implementing case-studies to analyze statistics, determine validity of an argument, and communicate main ideas in written form.</w:t>
            </w:r>
          </w:p>
        </w:tc>
      </w:tr>
      <w:tr w:rsidR="00E21881" w14:paraId="0141A3B5" w14:textId="77777777" w:rsidTr="00180BEF">
        <w:trPr>
          <w:trHeight w:val="725"/>
        </w:trPr>
        <w:tc>
          <w:tcPr>
            <w:tcW w:w="4675" w:type="dxa"/>
          </w:tcPr>
          <w:p w14:paraId="707C45B2" w14:textId="77777777" w:rsidR="00E21881" w:rsidRDefault="00E21881" w:rsidP="00E21881">
            <w:pPr>
              <w:pStyle w:val="Title"/>
              <w:jc w:val="center"/>
              <w:rPr>
                <w:rFonts w:asciiTheme="minorHAnsi" w:hAnsiTheme="minorHAnsi" w:cstheme="minorHAnsi"/>
                <w:b/>
                <w:sz w:val="28"/>
                <w:szCs w:val="24"/>
              </w:rPr>
            </w:pPr>
            <w:r>
              <w:rPr>
                <w:rFonts w:asciiTheme="minorHAnsi" w:hAnsiTheme="minorHAnsi" w:cstheme="minorHAnsi"/>
                <w:b/>
                <w:sz w:val="28"/>
                <w:szCs w:val="24"/>
              </w:rPr>
              <w:t xml:space="preserve">Emily Gilbert &amp; </w:t>
            </w:r>
          </w:p>
          <w:p w14:paraId="6A8ABD7D" w14:textId="77777777" w:rsidR="00E21881" w:rsidRPr="00E21881" w:rsidRDefault="00E21881" w:rsidP="00E21881">
            <w:pPr>
              <w:pStyle w:val="Title"/>
              <w:jc w:val="center"/>
              <w:rPr>
                <w:rFonts w:asciiTheme="minorHAnsi" w:hAnsiTheme="minorHAnsi" w:cstheme="minorHAnsi"/>
                <w:b/>
                <w:sz w:val="28"/>
                <w:szCs w:val="24"/>
              </w:rPr>
            </w:pPr>
            <w:r>
              <w:rPr>
                <w:rFonts w:asciiTheme="minorHAnsi" w:hAnsiTheme="minorHAnsi" w:cstheme="minorHAnsi"/>
                <w:b/>
                <w:sz w:val="28"/>
                <w:szCs w:val="24"/>
              </w:rPr>
              <w:t xml:space="preserve">Dr. Erika </w:t>
            </w:r>
            <w:proofErr w:type="spellStart"/>
            <w:r>
              <w:rPr>
                <w:rFonts w:asciiTheme="minorHAnsi" w:hAnsiTheme="minorHAnsi" w:cstheme="minorHAnsi"/>
                <w:b/>
                <w:sz w:val="28"/>
                <w:szCs w:val="24"/>
              </w:rPr>
              <w:t>Warnick</w:t>
            </w:r>
            <w:proofErr w:type="spellEnd"/>
          </w:p>
        </w:tc>
        <w:tc>
          <w:tcPr>
            <w:tcW w:w="4590" w:type="dxa"/>
          </w:tcPr>
          <w:p w14:paraId="6794601D" w14:textId="77777777" w:rsidR="00E21881" w:rsidRDefault="00E21881" w:rsidP="00E21881">
            <w:pPr>
              <w:pStyle w:val="Title"/>
              <w:jc w:val="center"/>
              <w:rPr>
                <w:rFonts w:asciiTheme="minorHAnsi" w:hAnsiTheme="minorHAnsi" w:cstheme="minorHAnsi"/>
                <w:b/>
                <w:sz w:val="28"/>
                <w:szCs w:val="24"/>
              </w:rPr>
            </w:pPr>
            <w:r w:rsidRPr="00E21881">
              <w:rPr>
                <w:rFonts w:asciiTheme="minorHAnsi" w:hAnsiTheme="minorHAnsi" w:cstheme="minorHAnsi"/>
                <w:b/>
                <w:sz w:val="28"/>
                <w:szCs w:val="24"/>
              </w:rPr>
              <w:t xml:space="preserve">Karol Albus &amp; </w:t>
            </w:r>
          </w:p>
          <w:p w14:paraId="42383477" w14:textId="77777777" w:rsidR="00E21881" w:rsidRPr="00E21881" w:rsidRDefault="00E21881" w:rsidP="00E21881">
            <w:pPr>
              <w:pStyle w:val="Title"/>
              <w:jc w:val="center"/>
              <w:rPr>
                <w:rFonts w:asciiTheme="minorHAnsi" w:hAnsiTheme="minorHAnsi" w:cstheme="minorHAnsi"/>
                <w:b/>
                <w:sz w:val="28"/>
                <w:szCs w:val="24"/>
              </w:rPr>
            </w:pPr>
            <w:r w:rsidRPr="00E21881">
              <w:rPr>
                <w:rFonts w:asciiTheme="minorHAnsi" w:hAnsiTheme="minorHAnsi" w:cstheme="minorHAnsi"/>
                <w:b/>
                <w:sz w:val="28"/>
                <w:szCs w:val="24"/>
              </w:rPr>
              <w:t>Leah Chenault</w:t>
            </w:r>
          </w:p>
        </w:tc>
      </w:tr>
      <w:tr w:rsidR="00E21881" w14:paraId="035EC36F" w14:textId="77777777" w:rsidTr="00180BEF">
        <w:trPr>
          <w:trHeight w:val="1816"/>
        </w:trPr>
        <w:tc>
          <w:tcPr>
            <w:tcW w:w="4675" w:type="dxa"/>
          </w:tcPr>
          <w:p w14:paraId="4E320E80" w14:textId="77777777" w:rsidR="00E21881" w:rsidRPr="00E21881" w:rsidRDefault="00E21881" w:rsidP="00E21881">
            <w:pPr>
              <w:pStyle w:val="Title"/>
              <w:jc w:val="center"/>
              <w:rPr>
                <w:rFonts w:asciiTheme="minorHAnsi" w:hAnsiTheme="minorHAnsi" w:cstheme="minorHAnsi"/>
                <w:sz w:val="24"/>
                <w:szCs w:val="24"/>
              </w:rPr>
            </w:pPr>
            <w:r w:rsidRPr="00E21881">
              <w:rPr>
                <w:rFonts w:asciiTheme="minorHAnsi" w:hAnsiTheme="minorHAnsi" w:cstheme="minorHAnsi"/>
                <w:sz w:val="24"/>
                <w:szCs w:val="24"/>
              </w:rPr>
              <w:t>Two different approaches to zoom</w:t>
            </w:r>
            <w:r w:rsidRPr="00E21881">
              <w:rPr>
                <w:rFonts w:asciiTheme="minorHAnsi" w:hAnsiTheme="minorHAnsi" w:cstheme="minorHAnsi"/>
                <w:sz w:val="24"/>
                <w:szCs w:val="24"/>
              </w:rPr>
              <w:t>in, zoom-out, zoom deep &amp; wide processing strategy. Incorporation of Reading/Thinking to help identify themes and create personal connections to text. Implementation of daily mini-lessons for grammar using Kahoot to enhance student engagement.</w:t>
            </w:r>
          </w:p>
        </w:tc>
        <w:tc>
          <w:tcPr>
            <w:tcW w:w="4590" w:type="dxa"/>
          </w:tcPr>
          <w:p w14:paraId="716323BB" w14:textId="77777777" w:rsidR="00E21881" w:rsidRPr="00E21881" w:rsidRDefault="00E21881" w:rsidP="00E21881">
            <w:pPr>
              <w:pStyle w:val="Title"/>
              <w:jc w:val="center"/>
              <w:rPr>
                <w:rFonts w:asciiTheme="minorHAnsi" w:hAnsiTheme="minorHAnsi" w:cstheme="minorHAnsi"/>
                <w:sz w:val="24"/>
                <w:szCs w:val="24"/>
              </w:rPr>
            </w:pPr>
            <w:r w:rsidRPr="00E21881">
              <w:rPr>
                <w:rFonts w:asciiTheme="minorHAnsi" w:hAnsiTheme="minorHAnsi" w:cstheme="minorHAnsi"/>
                <w:sz w:val="24"/>
                <w:szCs w:val="24"/>
              </w:rPr>
              <w:t>Implementation of lessons on grit and growth mindset to combat negative self-talk and mindset against math. Utilizing Kahoot for review/practice, new OER resources, and the Bottom-Line Up-Front method in communications. Incorporation of a new two-day review structure for exams and chunking information for students.</w:t>
            </w:r>
          </w:p>
        </w:tc>
      </w:tr>
      <w:tr w:rsidR="00E21881" w14:paraId="47EF8DEB" w14:textId="77777777" w:rsidTr="00180BEF">
        <w:trPr>
          <w:trHeight w:val="653"/>
        </w:trPr>
        <w:tc>
          <w:tcPr>
            <w:tcW w:w="4675" w:type="dxa"/>
          </w:tcPr>
          <w:p w14:paraId="657C2E99" w14:textId="77777777" w:rsidR="00E21881" w:rsidRDefault="00E21881" w:rsidP="00E21881">
            <w:pPr>
              <w:pStyle w:val="Title"/>
              <w:jc w:val="center"/>
              <w:rPr>
                <w:rFonts w:asciiTheme="minorHAnsi" w:hAnsiTheme="minorHAnsi" w:cstheme="minorHAnsi"/>
                <w:b/>
                <w:sz w:val="28"/>
                <w:szCs w:val="24"/>
              </w:rPr>
            </w:pPr>
            <w:r>
              <w:rPr>
                <w:rFonts w:asciiTheme="minorHAnsi" w:hAnsiTheme="minorHAnsi" w:cstheme="minorHAnsi"/>
                <w:b/>
                <w:sz w:val="28"/>
                <w:szCs w:val="24"/>
              </w:rPr>
              <w:t>Jennifer Bartlett</w:t>
            </w:r>
            <w:r>
              <w:rPr>
                <w:rFonts w:asciiTheme="minorHAnsi" w:hAnsiTheme="minorHAnsi" w:cstheme="minorHAnsi"/>
                <w:b/>
                <w:sz w:val="28"/>
                <w:szCs w:val="24"/>
              </w:rPr>
              <w:t xml:space="preserve"> &amp; </w:t>
            </w:r>
          </w:p>
          <w:p w14:paraId="6814830A" w14:textId="77777777" w:rsidR="00E21881" w:rsidRPr="00E21881" w:rsidRDefault="00E21881" w:rsidP="00E21881">
            <w:pPr>
              <w:pStyle w:val="Title"/>
              <w:jc w:val="center"/>
              <w:rPr>
                <w:rFonts w:asciiTheme="minorHAnsi" w:hAnsiTheme="minorHAnsi" w:cstheme="minorHAnsi"/>
                <w:b/>
                <w:sz w:val="28"/>
                <w:szCs w:val="24"/>
              </w:rPr>
            </w:pPr>
            <w:r>
              <w:rPr>
                <w:rFonts w:asciiTheme="minorHAnsi" w:hAnsiTheme="minorHAnsi" w:cstheme="minorHAnsi"/>
                <w:b/>
                <w:sz w:val="28"/>
                <w:szCs w:val="24"/>
              </w:rPr>
              <w:t>Denise Johansen</w:t>
            </w:r>
          </w:p>
        </w:tc>
        <w:tc>
          <w:tcPr>
            <w:tcW w:w="4590" w:type="dxa"/>
          </w:tcPr>
          <w:p w14:paraId="75F40034" w14:textId="77777777" w:rsidR="00180BEF" w:rsidRDefault="00E21881" w:rsidP="00E21881">
            <w:pPr>
              <w:pStyle w:val="Title"/>
              <w:jc w:val="center"/>
              <w:rPr>
                <w:rFonts w:asciiTheme="minorHAnsi" w:hAnsiTheme="minorHAnsi" w:cstheme="minorHAnsi"/>
                <w:b/>
                <w:sz w:val="28"/>
                <w:szCs w:val="24"/>
              </w:rPr>
            </w:pPr>
            <w:r>
              <w:rPr>
                <w:rFonts w:asciiTheme="minorHAnsi" w:hAnsiTheme="minorHAnsi" w:cstheme="minorHAnsi"/>
                <w:b/>
                <w:sz w:val="28"/>
                <w:szCs w:val="24"/>
              </w:rPr>
              <w:t xml:space="preserve">Dr. Elaine </w:t>
            </w:r>
            <w:proofErr w:type="spellStart"/>
            <w:r>
              <w:rPr>
                <w:rFonts w:asciiTheme="minorHAnsi" w:hAnsiTheme="minorHAnsi" w:cstheme="minorHAnsi"/>
                <w:b/>
                <w:sz w:val="28"/>
                <w:szCs w:val="24"/>
              </w:rPr>
              <w:t>Ramzinski</w:t>
            </w:r>
            <w:proofErr w:type="spellEnd"/>
            <w:r>
              <w:rPr>
                <w:rFonts w:asciiTheme="minorHAnsi" w:hAnsiTheme="minorHAnsi" w:cstheme="minorHAnsi"/>
                <w:b/>
                <w:sz w:val="28"/>
                <w:szCs w:val="24"/>
              </w:rPr>
              <w:t xml:space="preserve"> </w:t>
            </w:r>
          </w:p>
          <w:p w14:paraId="2CB8C879" w14:textId="77777777" w:rsidR="00E21881" w:rsidRPr="00E21881" w:rsidRDefault="00E21881" w:rsidP="00180BEF">
            <w:pPr>
              <w:pStyle w:val="Title"/>
              <w:jc w:val="center"/>
              <w:rPr>
                <w:rFonts w:asciiTheme="minorHAnsi" w:hAnsiTheme="minorHAnsi" w:cstheme="minorHAnsi"/>
                <w:b/>
                <w:sz w:val="28"/>
                <w:szCs w:val="24"/>
              </w:rPr>
            </w:pPr>
            <w:r>
              <w:rPr>
                <w:rFonts w:asciiTheme="minorHAnsi" w:hAnsiTheme="minorHAnsi" w:cstheme="minorHAnsi"/>
                <w:b/>
                <w:sz w:val="28"/>
                <w:szCs w:val="24"/>
              </w:rPr>
              <w:t>&amp;</w:t>
            </w:r>
            <w:r w:rsidR="00180BEF">
              <w:rPr>
                <w:rFonts w:asciiTheme="minorHAnsi" w:hAnsiTheme="minorHAnsi" w:cstheme="minorHAnsi"/>
                <w:b/>
                <w:sz w:val="28"/>
                <w:szCs w:val="24"/>
              </w:rPr>
              <w:t xml:space="preserve"> </w:t>
            </w:r>
            <w:r>
              <w:rPr>
                <w:rFonts w:asciiTheme="minorHAnsi" w:hAnsiTheme="minorHAnsi" w:cstheme="minorHAnsi"/>
                <w:b/>
                <w:sz w:val="28"/>
                <w:szCs w:val="24"/>
              </w:rPr>
              <w:t>Sharon Race</w:t>
            </w:r>
          </w:p>
        </w:tc>
      </w:tr>
      <w:tr w:rsidR="00E21881" w14:paraId="43EB5360" w14:textId="77777777" w:rsidTr="00180BEF">
        <w:trPr>
          <w:trHeight w:val="1816"/>
        </w:trPr>
        <w:tc>
          <w:tcPr>
            <w:tcW w:w="4675" w:type="dxa"/>
          </w:tcPr>
          <w:p w14:paraId="4C24408B" w14:textId="77777777" w:rsidR="00E21881" w:rsidRPr="00E21881" w:rsidRDefault="00E21881" w:rsidP="00E21881">
            <w:pPr>
              <w:pStyle w:val="Title"/>
              <w:jc w:val="center"/>
              <w:rPr>
                <w:rFonts w:asciiTheme="minorHAnsi" w:hAnsiTheme="minorHAnsi" w:cstheme="minorHAnsi"/>
                <w:sz w:val="24"/>
                <w:szCs w:val="24"/>
              </w:rPr>
            </w:pPr>
            <w:r w:rsidRPr="00E21881">
              <w:rPr>
                <w:rFonts w:asciiTheme="minorHAnsi" w:hAnsiTheme="minorHAnsi" w:cstheme="minorHAnsi"/>
                <w:sz w:val="24"/>
                <w:szCs w:val="24"/>
              </w:rPr>
              <w:t>Implementation of the Bottom-Line Up-Front method in course videos, communications, and instruction. Creating exam reflections to aid student growth, build relationships, and promote critical thinking. Utilizing brain breaks to support information processing, evaluating comprehension via exit tickets, and increasing engagement with Kahoot.</w:t>
            </w:r>
          </w:p>
        </w:tc>
        <w:tc>
          <w:tcPr>
            <w:tcW w:w="4590" w:type="dxa"/>
          </w:tcPr>
          <w:p w14:paraId="25CCFBF9" w14:textId="77777777" w:rsidR="00E21881" w:rsidRPr="00E21881" w:rsidRDefault="00E21881" w:rsidP="00E21881">
            <w:pPr>
              <w:pStyle w:val="Title"/>
              <w:jc w:val="center"/>
              <w:rPr>
                <w:rFonts w:asciiTheme="minorHAnsi" w:hAnsiTheme="minorHAnsi" w:cstheme="minorHAnsi"/>
                <w:sz w:val="24"/>
                <w:szCs w:val="24"/>
              </w:rPr>
            </w:pPr>
            <w:r w:rsidRPr="00E21881">
              <w:rPr>
                <w:rFonts w:asciiTheme="minorHAnsi" w:hAnsiTheme="minorHAnsi" w:cstheme="minorHAnsi"/>
                <w:sz w:val="24"/>
                <w:szCs w:val="24"/>
              </w:rPr>
              <w:t xml:space="preserve">Utilizing group discussions to enhance the </w:t>
            </w:r>
            <w:proofErr w:type="spellStart"/>
            <w:r w:rsidRPr="00E21881">
              <w:rPr>
                <w:rFonts w:asciiTheme="minorHAnsi" w:hAnsiTheme="minorHAnsi" w:cstheme="minorHAnsi"/>
                <w:sz w:val="24"/>
                <w:szCs w:val="24"/>
              </w:rPr>
              <w:t>SOAPSTone</w:t>
            </w:r>
            <w:proofErr w:type="spellEnd"/>
            <w:r w:rsidRPr="00E21881">
              <w:rPr>
                <w:rFonts w:asciiTheme="minorHAnsi" w:hAnsiTheme="minorHAnsi" w:cstheme="minorHAnsi"/>
                <w:sz w:val="24"/>
                <w:szCs w:val="24"/>
              </w:rPr>
              <w:t xml:space="preserve"> steps and using </w:t>
            </w:r>
            <w:proofErr w:type="spellStart"/>
            <w:r w:rsidRPr="00E21881">
              <w:rPr>
                <w:rFonts w:asciiTheme="minorHAnsi" w:hAnsiTheme="minorHAnsi" w:cstheme="minorHAnsi"/>
                <w:sz w:val="24"/>
                <w:szCs w:val="24"/>
              </w:rPr>
              <w:t>EdPuzzle</w:t>
            </w:r>
            <w:proofErr w:type="spellEnd"/>
            <w:r w:rsidRPr="00E21881">
              <w:rPr>
                <w:rFonts w:asciiTheme="minorHAnsi" w:hAnsiTheme="minorHAnsi" w:cstheme="minorHAnsi"/>
                <w:sz w:val="24"/>
                <w:szCs w:val="24"/>
              </w:rPr>
              <w:t xml:space="preserve"> to increase student engagement. Amplifying personal interaction/engagement for online students through Watercooler Chats, increase text interactions with SQ3R and Feedback Fruits, and incorporating growth mindset activities to develop grit.</w:t>
            </w:r>
          </w:p>
        </w:tc>
      </w:tr>
      <w:tr w:rsidR="00E21881" w14:paraId="39EDAAA0" w14:textId="77777777" w:rsidTr="00180BEF">
        <w:trPr>
          <w:trHeight w:val="572"/>
        </w:trPr>
        <w:tc>
          <w:tcPr>
            <w:tcW w:w="4675" w:type="dxa"/>
          </w:tcPr>
          <w:p w14:paraId="35EA7480" w14:textId="77777777" w:rsidR="00E21881" w:rsidRDefault="00E21881" w:rsidP="00E21881">
            <w:pPr>
              <w:pStyle w:val="Title"/>
              <w:jc w:val="center"/>
              <w:rPr>
                <w:rFonts w:asciiTheme="minorHAnsi" w:hAnsiTheme="minorHAnsi" w:cstheme="minorHAnsi"/>
                <w:b/>
                <w:sz w:val="28"/>
                <w:szCs w:val="24"/>
              </w:rPr>
            </w:pPr>
            <w:r>
              <w:rPr>
                <w:rFonts w:asciiTheme="minorHAnsi" w:hAnsiTheme="minorHAnsi" w:cstheme="minorHAnsi"/>
                <w:b/>
                <w:sz w:val="28"/>
                <w:szCs w:val="24"/>
              </w:rPr>
              <w:t>Dr. Roy Bearden-White</w:t>
            </w:r>
          </w:p>
          <w:p w14:paraId="7E84182E" w14:textId="77777777" w:rsidR="00E21881" w:rsidRPr="00E21881" w:rsidRDefault="00E21881" w:rsidP="00E21881">
            <w:pPr>
              <w:pStyle w:val="Title"/>
              <w:jc w:val="center"/>
            </w:pPr>
            <w:r w:rsidRPr="00E21881">
              <w:rPr>
                <w:rFonts w:asciiTheme="minorHAnsi" w:hAnsiTheme="minorHAnsi" w:cstheme="minorHAnsi"/>
                <w:b/>
                <w:sz w:val="28"/>
                <w:szCs w:val="24"/>
              </w:rPr>
              <w:t>&amp; Lesley Shelton</w:t>
            </w:r>
          </w:p>
        </w:tc>
        <w:tc>
          <w:tcPr>
            <w:tcW w:w="4590" w:type="dxa"/>
          </w:tcPr>
          <w:p w14:paraId="2CA09A11" w14:textId="77777777" w:rsidR="00E21881" w:rsidRDefault="00180BEF" w:rsidP="00E21881">
            <w:pPr>
              <w:pStyle w:val="Title"/>
              <w:jc w:val="center"/>
              <w:rPr>
                <w:rFonts w:asciiTheme="minorHAnsi" w:hAnsiTheme="minorHAnsi" w:cstheme="minorHAnsi"/>
                <w:b/>
                <w:sz w:val="28"/>
                <w:szCs w:val="24"/>
              </w:rPr>
            </w:pPr>
            <w:proofErr w:type="spellStart"/>
            <w:r>
              <w:rPr>
                <w:rFonts w:asciiTheme="minorHAnsi" w:hAnsiTheme="minorHAnsi" w:cstheme="minorHAnsi"/>
                <w:b/>
                <w:sz w:val="28"/>
                <w:szCs w:val="24"/>
              </w:rPr>
              <w:t>Beronic</w:t>
            </w:r>
            <w:proofErr w:type="spellEnd"/>
            <w:r>
              <w:rPr>
                <w:rFonts w:asciiTheme="minorHAnsi" w:hAnsiTheme="minorHAnsi" w:cstheme="minorHAnsi"/>
                <w:b/>
                <w:sz w:val="28"/>
                <w:szCs w:val="24"/>
              </w:rPr>
              <w:t xml:space="preserve"> Murillo</w:t>
            </w:r>
            <w:r w:rsidR="00E21881">
              <w:rPr>
                <w:rFonts w:asciiTheme="minorHAnsi" w:hAnsiTheme="minorHAnsi" w:cstheme="minorHAnsi"/>
                <w:b/>
                <w:sz w:val="28"/>
                <w:szCs w:val="24"/>
              </w:rPr>
              <w:t xml:space="preserve"> &amp; </w:t>
            </w:r>
          </w:p>
          <w:p w14:paraId="284353AC" w14:textId="77777777" w:rsidR="00E21881" w:rsidRPr="00E21881" w:rsidRDefault="00180BEF" w:rsidP="00E21881">
            <w:pPr>
              <w:pStyle w:val="Title"/>
              <w:jc w:val="center"/>
              <w:rPr>
                <w:rFonts w:asciiTheme="minorHAnsi" w:hAnsiTheme="minorHAnsi" w:cstheme="minorHAnsi"/>
                <w:b/>
                <w:sz w:val="28"/>
                <w:szCs w:val="24"/>
              </w:rPr>
            </w:pPr>
            <w:r>
              <w:rPr>
                <w:rFonts w:asciiTheme="minorHAnsi" w:hAnsiTheme="minorHAnsi" w:cstheme="minorHAnsi"/>
                <w:b/>
                <w:sz w:val="28"/>
                <w:szCs w:val="24"/>
              </w:rPr>
              <w:t xml:space="preserve">Barbara </w:t>
            </w:r>
            <w:proofErr w:type="spellStart"/>
            <w:r>
              <w:rPr>
                <w:rFonts w:asciiTheme="minorHAnsi" w:hAnsiTheme="minorHAnsi" w:cstheme="minorHAnsi"/>
                <w:b/>
                <w:sz w:val="28"/>
                <w:szCs w:val="24"/>
              </w:rPr>
              <w:t>Waygood</w:t>
            </w:r>
            <w:proofErr w:type="spellEnd"/>
          </w:p>
        </w:tc>
      </w:tr>
      <w:tr w:rsidR="00E21881" w14:paraId="79C7FAB5" w14:textId="77777777" w:rsidTr="00180BEF">
        <w:trPr>
          <w:trHeight w:val="1816"/>
        </w:trPr>
        <w:tc>
          <w:tcPr>
            <w:tcW w:w="4675" w:type="dxa"/>
          </w:tcPr>
          <w:p w14:paraId="6DB79E5B" w14:textId="77777777" w:rsidR="00E21881" w:rsidRPr="00E21881" w:rsidRDefault="00180BEF" w:rsidP="00E21881">
            <w:pPr>
              <w:pStyle w:val="Title"/>
              <w:jc w:val="center"/>
              <w:rPr>
                <w:rFonts w:asciiTheme="minorHAnsi" w:hAnsiTheme="minorHAnsi" w:cstheme="minorHAnsi"/>
                <w:sz w:val="24"/>
                <w:szCs w:val="24"/>
              </w:rPr>
            </w:pPr>
            <w:r w:rsidRPr="00180BEF">
              <w:rPr>
                <w:rFonts w:asciiTheme="minorHAnsi" w:hAnsiTheme="minorHAnsi" w:cstheme="minorHAnsi"/>
                <w:sz w:val="24"/>
                <w:szCs w:val="24"/>
              </w:rPr>
              <w:t>A new twist on interpreting and analyzing texts in a different way. Using College Success Readings to help students gain valuable learning skills. Incorporating vocabulary journals to build vocabulary and aid in identifying parts of speech.</w:t>
            </w:r>
          </w:p>
        </w:tc>
        <w:tc>
          <w:tcPr>
            <w:tcW w:w="4590" w:type="dxa"/>
          </w:tcPr>
          <w:p w14:paraId="3842E7EB" w14:textId="77777777" w:rsidR="00E21881" w:rsidRPr="00E21881" w:rsidRDefault="00180BEF" w:rsidP="00E21881">
            <w:pPr>
              <w:pStyle w:val="Title"/>
              <w:jc w:val="center"/>
              <w:rPr>
                <w:rFonts w:asciiTheme="minorHAnsi" w:hAnsiTheme="minorHAnsi" w:cstheme="minorHAnsi"/>
                <w:sz w:val="24"/>
                <w:szCs w:val="24"/>
              </w:rPr>
            </w:pPr>
            <w:r w:rsidRPr="00180BEF">
              <w:rPr>
                <w:rFonts w:asciiTheme="minorHAnsi" w:hAnsiTheme="minorHAnsi" w:cstheme="minorHAnsi"/>
                <w:sz w:val="24"/>
                <w:szCs w:val="24"/>
              </w:rPr>
              <w:t xml:space="preserve">Enjoy talking with two of our very own Academic Coaches about their roles in helping students succeed inside and outside of the classroom. Barbara is an Academic Coach for Dr. Roy Bearden-White helping with Corequisite English and </w:t>
            </w:r>
            <w:proofErr w:type="spellStart"/>
            <w:r w:rsidRPr="00180BEF">
              <w:rPr>
                <w:rFonts w:asciiTheme="minorHAnsi" w:hAnsiTheme="minorHAnsi" w:cstheme="minorHAnsi"/>
                <w:sz w:val="24"/>
                <w:szCs w:val="24"/>
              </w:rPr>
              <w:t>Beronica</w:t>
            </w:r>
            <w:proofErr w:type="spellEnd"/>
            <w:r w:rsidRPr="00180BEF">
              <w:rPr>
                <w:rFonts w:asciiTheme="minorHAnsi" w:hAnsiTheme="minorHAnsi" w:cstheme="minorHAnsi"/>
                <w:sz w:val="24"/>
                <w:szCs w:val="24"/>
              </w:rPr>
              <w:t xml:space="preserve"> is an Academic Coach for Jennifer Bartlett helping with Corequisite Math.</w:t>
            </w:r>
          </w:p>
        </w:tc>
      </w:tr>
    </w:tbl>
    <w:p w14:paraId="07E9F7E1" w14:textId="77777777" w:rsidR="00E21881" w:rsidRPr="00E21881" w:rsidRDefault="00E21881" w:rsidP="00E21881">
      <w:pPr>
        <w:pStyle w:val="Title"/>
        <w:rPr>
          <w:sz w:val="24"/>
          <w:szCs w:val="24"/>
        </w:rPr>
      </w:pPr>
    </w:p>
    <w:sectPr w:rsidR="00E21881" w:rsidRPr="00E21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81"/>
    <w:rsid w:val="00180BEF"/>
    <w:rsid w:val="00E2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7F5B"/>
  <w15:chartTrackingRefBased/>
  <w15:docId w15:val="{35FFDADD-F820-4BC5-A38B-9BCE0A84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18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88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21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21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96B00BCC8E343907127BD1F30BEA8" ma:contentTypeVersion="11" ma:contentTypeDescription="Create a new document." ma:contentTypeScope="" ma:versionID="66df52ed7783a83320a67849ddc5fe3c">
  <xsd:schema xmlns:xsd="http://www.w3.org/2001/XMLSchema" xmlns:xs="http://www.w3.org/2001/XMLSchema" xmlns:p="http://schemas.microsoft.com/office/2006/metadata/properties" xmlns:ns3="e9277d65-f77f-43b7-a9c5-5a150372cd63" targetNamespace="http://schemas.microsoft.com/office/2006/metadata/properties" ma:root="true" ma:fieldsID="221131f401ed68fc9cbe41c3bdff427f" ns3:_="">
    <xsd:import namespace="e9277d65-f77f-43b7-a9c5-5a150372cd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77d65-f77f-43b7-a9c5-5a150372c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6FDC27-A2E1-4D0C-BE65-F00BFB0D2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77d65-f77f-43b7-a9c5-5a150372c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4B40A-5812-43D5-A194-1ACECC0E54E9}">
  <ds:schemaRefs>
    <ds:schemaRef ds:uri="http://schemas.microsoft.com/sharepoint/v3/contenttype/forms"/>
  </ds:schemaRefs>
</ds:datastoreItem>
</file>

<file path=customXml/itemProps3.xml><?xml version="1.0" encoding="utf-8"?>
<ds:datastoreItem xmlns:ds="http://schemas.openxmlformats.org/officeDocument/2006/customXml" ds:itemID="{7071FD0F-6297-45AF-9A4B-6D0720E2FF13}">
  <ds:schemaRefs>
    <ds:schemaRef ds:uri="http://schemas.microsoft.com/office/2006/metadata/properties"/>
    <ds:schemaRef ds:uri="http://schemas.microsoft.com/office/2006/documentManagement/types"/>
    <ds:schemaRef ds:uri="http://purl.org/dc/elements/1.1/"/>
    <ds:schemaRef ds:uri="http://purl.org/dc/terms/"/>
    <ds:schemaRef ds:uri="e9277d65-f77f-43b7-a9c5-5a150372cd63"/>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Ashley D</dc:creator>
  <cp:keywords/>
  <dc:description/>
  <cp:lastModifiedBy>Davis, Ashley D</cp:lastModifiedBy>
  <cp:revision>1</cp:revision>
  <dcterms:created xsi:type="dcterms:W3CDTF">2022-01-14T15:19:00Z</dcterms:created>
  <dcterms:modified xsi:type="dcterms:W3CDTF">2022-01-14T15:31:00Z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0x010100EC196B00BCC8E343907127BD1F30BEA8</vt:lpwstr>
  </property>
</Properties>
</file>